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25" w:rsidRDefault="00B54525" w:rsidP="00B54525">
      <w:pPr>
        <w:jc w:val="center"/>
        <w:rPr>
          <w:b/>
          <w:sz w:val="28"/>
          <w:szCs w:val="28"/>
        </w:rPr>
      </w:pPr>
      <w:r>
        <w:rPr>
          <w:b/>
          <w:sz w:val="28"/>
          <w:szCs w:val="28"/>
        </w:rPr>
        <w:t>Neutral Bay Public School P &amp; C Association</w:t>
      </w:r>
    </w:p>
    <w:p w:rsidR="00B54525" w:rsidRPr="00B54525" w:rsidRDefault="00B54525" w:rsidP="00B54525">
      <w:pPr>
        <w:jc w:val="center"/>
        <w:rPr>
          <w:b/>
          <w:sz w:val="20"/>
          <w:szCs w:val="20"/>
        </w:rPr>
      </w:pPr>
      <w:r w:rsidRPr="00B54525">
        <w:rPr>
          <w:b/>
          <w:sz w:val="20"/>
          <w:szCs w:val="20"/>
        </w:rPr>
        <w:t>ABN 37 905 613 207</w:t>
      </w:r>
    </w:p>
    <w:p w:rsidR="00435CEE" w:rsidRPr="00435CEE" w:rsidRDefault="00435CEE" w:rsidP="00B54525">
      <w:pPr>
        <w:jc w:val="center"/>
        <w:rPr>
          <w:b/>
          <w:sz w:val="28"/>
          <w:szCs w:val="28"/>
        </w:rPr>
      </w:pPr>
      <w:r w:rsidRPr="00435CEE">
        <w:rPr>
          <w:b/>
          <w:sz w:val="28"/>
          <w:szCs w:val="28"/>
        </w:rPr>
        <w:t>Treasurer’s Report</w:t>
      </w:r>
      <w:r w:rsidR="00B54525">
        <w:rPr>
          <w:b/>
          <w:sz w:val="28"/>
          <w:szCs w:val="28"/>
        </w:rPr>
        <w:t xml:space="preserve"> for Financial Year Ending 30</w:t>
      </w:r>
      <w:r w:rsidR="00B54525" w:rsidRPr="00B54525">
        <w:rPr>
          <w:b/>
          <w:sz w:val="28"/>
          <w:szCs w:val="28"/>
          <w:vertAlign w:val="superscript"/>
        </w:rPr>
        <w:t>th</w:t>
      </w:r>
      <w:r w:rsidR="00B54525">
        <w:rPr>
          <w:b/>
          <w:sz w:val="28"/>
          <w:szCs w:val="28"/>
        </w:rPr>
        <w:t xml:space="preserve"> September 2016</w:t>
      </w:r>
    </w:p>
    <w:p w:rsidR="005920F2" w:rsidRDefault="005920F2" w:rsidP="00A975C1">
      <w:pPr>
        <w:contextualSpacing/>
      </w:pPr>
      <w:r>
        <w:t>We have had another great year in terms of both the wonderful events that have been offered to the school community</w:t>
      </w:r>
      <w:r w:rsidR="00352E12">
        <w:t>,</w:t>
      </w:r>
      <w:r>
        <w:t xml:space="preserve"> as well as the financial support that we have been able to provide our exceptional school. We set ourselves another challenging financial target, to raise $190,000, and we achieved it! I would like to thank everyone in the school community for supporting our initiatives so enthusiastically and allowing us to achieve this terrific result.</w:t>
      </w:r>
    </w:p>
    <w:p w:rsidR="005920F2" w:rsidRDefault="005920F2" w:rsidP="00A975C1">
      <w:pPr>
        <w:contextualSpacing/>
      </w:pPr>
    </w:p>
    <w:p w:rsidR="005920F2" w:rsidRDefault="005920F2" w:rsidP="00A975C1">
      <w:pPr>
        <w:contextualSpacing/>
      </w:pPr>
      <w:r>
        <w:t>At the beginning of the year, we were asked to support the following school’s initiatives:</w:t>
      </w:r>
    </w:p>
    <w:p w:rsidR="00B54525" w:rsidRDefault="00B54525" w:rsidP="00A975C1">
      <w:pPr>
        <w:pStyle w:val="ListParagraph"/>
        <w:numPr>
          <w:ilvl w:val="0"/>
          <w:numId w:val="6"/>
        </w:numPr>
      </w:pPr>
      <w:r>
        <w:t>Science &amp; music programmes (50%)</w:t>
      </w:r>
      <w:r>
        <w:tab/>
      </w:r>
      <w:r>
        <w:tab/>
        <w:t>$110,000</w:t>
      </w:r>
    </w:p>
    <w:p w:rsidR="00B54525" w:rsidRDefault="00B54525" w:rsidP="00A975C1">
      <w:pPr>
        <w:pStyle w:val="ListParagraph"/>
        <w:numPr>
          <w:ilvl w:val="0"/>
          <w:numId w:val="6"/>
        </w:numPr>
      </w:pPr>
      <w:r>
        <w:t>Teacher’s support</w:t>
      </w:r>
      <w:r>
        <w:tab/>
      </w:r>
      <w:r>
        <w:tab/>
      </w:r>
      <w:r>
        <w:tab/>
      </w:r>
      <w:r>
        <w:tab/>
        <w:t xml:space="preserve">$ </w:t>
      </w:r>
      <w:r w:rsidR="00CD296B">
        <w:t>20,000 - $</w:t>
      </w:r>
      <w:r>
        <w:t>30,000</w:t>
      </w:r>
    </w:p>
    <w:p w:rsidR="00CD296B" w:rsidRDefault="005920F2" w:rsidP="00A975C1">
      <w:pPr>
        <w:pStyle w:val="ListParagraph"/>
        <w:numPr>
          <w:ilvl w:val="0"/>
          <w:numId w:val="6"/>
        </w:numPr>
      </w:pPr>
      <w:r>
        <w:t>T</w:t>
      </w:r>
      <w:r w:rsidR="00B54525">
        <w:t xml:space="preserve">echnology </w:t>
      </w:r>
      <w:r w:rsidR="00B54525">
        <w:tab/>
      </w:r>
      <w:r w:rsidR="00B54525">
        <w:tab/>
      </w:r>
      <w:r w:rsidR="00B54525">
        <w:tab/>
      </w:r>
      <w:r>
        <w:tab/>
      </w:r>
      <w:r w:rsidR="00B54525">
        <w:tab/>
        <w:t xml:space="preserve">$ </w:t>
      </w:r>
      <w:r w:rsidR="00CD296B">
        <w:t>20,000 - $</w:t>
      </w:r>
      <w:r w:rsidR="00B54525">
        <w:t>30,000</w:t>
      </w:r>
    </w:p>
    <w:p w:rsidR="00B54525" w:rsidRDefault="00CD296B" w:rsidP="00A975C1">
      <w:pPr>
        <w:pStyle w:val="ListParagraph"/>
        <w:numPr>
          <w:ilvl w:val="0"/>
          <w:numId w:val="6"/>
        </w:numPr>
      </w:pPr>
      <w:r>
        <w:t xml:space="preserve">Portable stage </w:t>
      </w:r>
      <w:r w:rsidR="00B54525">
        <w:tab/>
      </w:r>
      <w:r>
        <w:tab/>
      </w:r>
      <w:r>
        <w:tab/>
      </w:r>
      <w:r>
        <w:tab/>
      </w:r>
      <w:r>
        <w:tab/>
        <w:t>$ 10,000 - $20,000</w:t>
      </w:r>
    </w:p>
    <w:p w:rsidR="00FB646F" w:rsidRDefault="00FB646F" w:rsidP="00A975C1">
      <w:pPr>
        <w:contextualSpacing/>
      </w:pPr>
    </w:p>
    <w:p w:rsidR="00B54525" w:rsidRDefault="005F44D8" w:rsidP="00A975C1">
      <w:pPr>
        <w:contextualSpacing/>
      </w:pPr>
      <w:r>
        <w:t xml:space="preserve">Before going into the details of the accounts, the following </w:t>
      </w:r>
      <w:r w:rsidR="00FB646F">
        <w:t>table provides a sum</w:t>
      </w:r>
      <w:r>
        <w:t>mary of how we raised the funds: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4"/>
        <w:gridCol w:w="1904"/>
        <w:gridCol w:w="1722"/>
        <w:gridCol w:w="1562"/>
      </w:tblGrid>
      <w:tr w:rsidR="00025918" w:rsidRPr="00FA7130" w:rsidTr="00B54525">
        <w:tc>
          <w:tcPr>
            <w:tcW w:w="4054" w:type="dxa"/>
            <w:tcBorders>
              <w:top w:val="single" w:sz="4" w:space="0" w:color="auto"/>
              <w:bottom w:val="single" w:sz="12" w:space="0" w:color="auto"/>
            </w:tcBorders>
          </w:tcPr>
          <w:p w:rsidR="00025918" w:rsidRPr="00FA7130" w:rsidRDefault="00025918" w:rsidP="00A975C1">
            <w:pPr>
              <w:spacing w:line="320" w:lineRule="atLeast"/>
              <w:contextualSpacing/>
              <w:rPr>
                <w:b/>
              </w:rPr>
            </w:pPr>
            <w:r w:rsidRPr="00FA7130">
              <w:rPr>
                <w:b/>
              </w:rPr>
              <w:t>Activity</w:t>
            </w:r>
          </w:p>
        </w:tc>
        <w:tc>
          <w:tcPr>
            <w:tcW w:w="1904" w:type="dxa"/>
            <w:tcBorders>
              <w:top w:val="single" w:sz="4" w:space="0" w:color="auto"/>
              <w:bottom w:val="single" w:sz="12" w:space="0" w:color="auto"/>
            </w:tcBorders>
          </w:tcPr>
          <w:p w:rsidR="00F07885" w:rsidRPr="00FA7130" w:rsidRDefault="00F07885" w:rsidP="00A975C1">
            <w:pPr>
              <w:spacing w:line="320" w:lineRule="atLeast"/>
              <w:contextualSpacing/>
              <w:jc w:val="right"/>
              <w:rPr>
                <w:b/>
              </w:rPr>
            </w:pPr>
          </w:p>
        </w:tc>
        <w:tc>
          <w:tcPr>
            <w:tcW w:w="1722" w:type="dxa"/>
            <w:tcBorders>
              <w:top w:val="single" w:sz="4" w:space="0" w:color="auto"/>
              <w:bottom w:val="single" w:sz="12" w:space="0" w:color="auto"/>
            </w:tcBorders>
          </w:tcPr>
          <w:p w:rsidR="00025918" w:rsidRDefault="00B54525" w:rsidP="00A975C1">
            <w:pPr>
              <w:spacing w:line="320" w:lineRule="atLeast"/>
              <w:contextualSpacing/>
              <w:jc w:val="right"/>
              <w:rPr>
                <w:b/>
              </w:rPr>
            </w:pPr>
            <w:r>
              <w:rPr>
                <w:b/>
              </w:rPr>
              <w:t>Feb Estimates</w:t>
            </w:r>
          </w:p>
          <w:p w:rsidR="00F07885" w:rsidRDefault="00F07885" w:rsidP="00A975C1">
            <w:pPr>
              <w:spacing w:line="320" w:lineRule="atLeast"/>
              <w:contextualSpacing/>
              <w:jc w:val="right"/>
              <w:rPr>
                <w:b/>
              </w:rPr>
            </w:pPr>
          </w:p>
        </w:tc>
        <w:tc>
          <w:tcPr>
            <w:tcW w:w="1562" w:type="dxa"/>
            <w:tcBorders>
              <w:top w:val="single" w:sz="4" w:space="0" w:color="auto"/>
              <w:bottom w:val="single" w:sz="12" w:space="0" w:color="auto"/>
            </w:tcBorders>
          </w:tcPr>
          <w:p w:rsidR="00025918" w:rsidRDefault="00B54525" w:rsidP="00A975C1">
            <w:pPr>
              <w:spacing w:line="320" w:lineRule="atLeast"/>
              <w:contextualSpacing/>
              <w:jc w:val="right"/>
              <w:rPr>
                <w:b/>
              </w:rPr>
            </w:pPr>
            <w:r>
              <w:rPr>
                <w:b/>
              </w:rPr>
              <w:t>Actual FY16</w:t>
            </w:r>
          </w:p>
        </w:tc>
      </w:tr>
      <w:tr w:rsidR="00025918" w:rsidRPr="00FA7130" w:rsidTr="00B54525">
        <w:tc>
          <w:tcPr>
            <w:tcW w:w="4054" w:type="dxa"/>
            <w:tcBorders>
              <w:top w:val="single" w:sz="12" w:space="0" w:color="auto"/>
            </w:tcBorders>
          </w:tcPr>
          <w:p w:rsidR="00025918" w:rsidRPr="00FA7130" w:rsidRDefault="00025918" w:rsidP="00A975C1">
            <w:pPr>
              <w:spacing w:line="320" w:lineRule="atLeast"/>
              <w:contextualSpacing/>
            </w:pPr>
            <w:r w:rsidRPr="00FA7130">
              <w:t>Voluntary contribution</w:t>
            </w:r>
          </w:p>
        </w:tc>
        <w:tc>
          <w:tcPr>
            <w:tcW w:w="1904" w:type="dxa"/>
            <w:tcBorders>
              <w:top w:val="single" w:sz="12" w:space="0" w:color="auto"/>
            </w:tcBorders>
          </w:tcPr>
          <w:p w:rsidR="00025918" w:rsidRPr="00FA7130" w:rsidRDefault="00025918" w:rsidP="00A975C1">
            <w:pPr>
              <w:spacing w:line="320" w:lineRule="atLeast"/>
              <w:contextualSpacing/>
              <w:jc w:val="right"/>
            </w:pPr>
          </w:p>
        </w:tc>
        <w:tc>
          <w:tcPr>
            <w:tcW w:w="1722" w:type="dxa"/>
            <w:tcBorders>
              <w:top w:val="single" w:sz="12" w:space="0" w:color="auto"/>
            </w:tcBorders>
          </w:tcPr>
          <w:p w:rsidR="00025918" w:rsidRDefault="00025918" w:rsidP="00A975C1">
            <w:pPr>
              <w:spacing w:line="320" w:lineRule="atLeast"/>
              <w:contextualSpacing/>
              <w:jc w:val="right"/>
            </w:pPr>
            <w:r>
              <w:t>$</w:t>
            </w:r>
            <w:r w:rsidR="00B54525">
              <w:t>90,000</w:t>
            </w:r>
          </w:p>
        </w:tc>
        <w:tc>
          <w:tcPr>
            <w:tcW w:w="1562" w:type="dxa"/>
            <w:tcBorders>
              <w:top w:val="single" w:sz="12" w:space="0" w:color="auto"/>
            </w:tcBorders>
          </w:tcPr>
          <w:p w:rsidR="00025918" w:rsidRPr="00FA7130" w:rsidRDefault="00B54525" w:rsidP="00A975C1">
            <w:pPr>
              <w:spacing w:line="320" w:lineRule="atLeast"/>
              <w:contextualSpacing/>
              <w:jc w:val="right"/>
            </w:pPr>
            <w:r>
              <w:t>$101</w:t>
            </w:r>
            <w:r w:rsidR="007D685E">
              <w:t>,405</w:t>
            </w:r>
          </w:p>
        </w:tc>
      </w:tr>
      <w:tr w:rsidR="005920F2" w:rsidRPr="00FA7130" w:rsidTr="00E9394F">
        <w:tc>
          <w:tcPr>
            <w:tcW w:w="4054" w:type="dxa"/>
          </w:tcPr>
          <w:p w:rsidR="005920F2" w:rsidRPr="00FA7130" w:rsidRDefault="005920F2" w:rsidP="00A975C1">
            <w:pPr>
              <w:spacing w:line="320" w:lineRule="atLeast"/>
              <w:contextualSpacing/>
            </w:pPr>
            <w:r>
              <w:t xml:space="preserve">Fundraising </w:t>
            </w:r>
          </w:p>
        </w:tc>
        <w:tc>
          <w:tcPr>
            <w:tcW w:w="1904" w:type="dxa"/>
          </w:tcPr>
          <w:p w:rsidR="005920F2" w:rsidRPr="00FA7130" w:rsidRDefault="005920F2" w:rsidP="00A975C1">
            <w:pPr>
              <w:spacing w:line="320" w:lineRule="atLeast"/>
              <w:contextualSpacing/>
              <w:jc w:val="right"/>
            </w:pPr>
          </w:p>
        </w:tc>
        <w:tc>
          <w:tcPr>
            <w:tcW w:w="1722" w:type="dxa"/>
          </w:tcPr>
          <w:p w:rsidR="005920F2" w:rsidRDefault="005920F2" w:rsidP="00A975C1">
            <w:pPr>
              <w:spacing w:line="320" w:lineRule="atLeast"/>
              <w:contextualSpacing/>
              <w:jc w:val="right"/>
            </w:pPr>
            <w:r>
              <w:t>$45,000</w:t>
            </w:r>
          </w:p>
        </w:tc>
        <w:tc>
          <w:tcPr>
            <w:tcW w:w="1562" w:type="dxa"/>
          </w:tcPr>
          <w:p w:rsidR="005920F2" w:rsidRPr="00FA7130" w:rsidRDefault="005920F2" w:rsidP="00A975C1">
            <w:pPr>
              <w:spacing w:line="320" w:lineRule="atLeast"/>
              <w:contextualSpacing/>
              <w:jc w:val="right"/>
            </w:pPr>
            <w:r>
              <w:t>$</w:t>
            </w:r>
            <w:r w:rsidR="00FB646F">
              <w:t>53,747</w:t>
            </w:r>
          </w:p>
        </w:tc>
      </w:tr>
      <w:tr w:rsidR="005920F2" w:rsidRPr="00FA7130" w:rsidTr="00B54525">
        <w:trPr>
          <w:trHeight w:val="189"/>
        </w:trPr>
        <w:tc>
          <w:tcPr>
            <w:tcW w:w="4054" w:type="dxa"/>
          </w:tcPr>
          <w:p w:rsidR="005920F2" w:rsidRDefault="005920F2" w:rsidP="00A975C1">
            <w:pPr>
              <w:spacing w:line="320" w:lineRule="atLeast"/>
              <w:contextualSpacing/>
            </w:pPr>
            <w:r>
              <w:t>Event Sponsorship</w:t>
            </w:r>
          </w:p>
        </w:tc>
        <w:tc>
          <w:tcPr>
            <w:tcW w:w="1904" w:type="dxa"/>
          </w:tcPr>
          <w:p w:rsidR="005920F2" w:rsidRPr="00FA7130" w:rsidRDefault="005920F2" w:rsidP="00A975C1">
            <w:pPr>
              <w:spacing w:line="320" w:lineRule="atLeast"/>
              <w:contextualSpacing/>
              <w:jc w:val="right"/>
            </w:pPr>
          </w:p>
        </w:tc>
        <w:tc>
          <w:tcPr>
            <w:tcW w:w="1722" w:type="dxa"/>
          </w:tcPr>
          <w:p w:rsidR="005920F2" w:rsidRDefault="005920F2" w:rsidP="00A975C1">
            <w:pPr>
              <w:spacing w:line="320" w:lineRule="atLeast"/>
              <w:contextualSpacing/>
              <w:jc w:val="right"/>
            </w:pPr>
            <w:r>
              <w:t>$30,000</w:t>
            </w:r>
            <w:r w:rsidR="00DE0F34">
              <w:rPr>
                <w:rStyle w:val="FootnoteReference"/>
              </w:rPr>
              <w:footnoteReference w:id="2"/>
            </w:r>
          </w:p>
        </w:tc>
        <w:tc>
          <w:tcPr>
            <w:tcW w:w="1562" w:type="dxa"/>
          </w:tcPr>
          <w:p w:rsidR="005920F2" w:rsidRDefault="005920F2" w:rsidP="00A975C1">
            <w:pPr>
              <w:spacing w:line="320" w:lineRule="atLeast"/>
              <w:contextualSpacing/>
              <w:jc w:val="right"/>
            </w:pPr>
            <w:r>
              <w:t>$5,300</w:t>
            </w:r>
          </w:p>
        </w:tc>
      </w:tr>
      <w:tr w:rsidR="005920F2" w:rsidRPr="00FA7130" w:rsidTr="00B54525">
        <w:trPr>
          <w:trHeight w:val="189"/>
        </w:trPr>
        <w:tc>
          <w:tcPr>
            <w:tcW w:w="4054" w:type="dxa"/>
          </w:tcPr>
          <w:p w:rsidR="005920F2" w:rsidRPr="00FA7130" w:rsidRDefault="005920F2" w:rsidP="00A975C1">
            <w:pPr>
              <w:spacing w:line="320" w:lineRule="atLeast"/>
              <w:contextualSpacing/>
            </w:pPr>
            <w:r w:rsidRPr="00FA7130">
              <w:t>Uniform shop</w:t>
            </w:r>
          </w:p>
        </w:tc>
        <w:tc>
          <w:tcPr>
            <w:tcW w:w="1904" w:type="dxa"/>
          </w:tcPr>
          <w:p w:rsidR="005920F2" w:rsidRPr="003962E4" w:rsidRDefault="005920F2" w:rsidP="00A975C1">
            <w:pPr>
              <w:spacing w:line="320" w:lineRule="atLeast"/>
              <w:contextualSpacing/>
              <w:jc w:val="right"/>
              <w:rPr>
                <w:i/>
              </w:rPr>
            </w:pPr>
          </w:p>
        </w:tc>
        <w:tc>
          <w:tcPr>
            <w:tcW w:w="1722" w:type="dxa"/>
          </w:tcPr>
          <w:p w:rsidR="005920F2" w:rsidRPr="003962E4" w:rsidRDefault="005920F2" w:rsidP="00A975C1">
            <w:pPr>
              <w:spacing w:line="320" w:lineRule="atLeast"/>
              <w:contextualSpacing/>
              <w:jc w:val="right"/>
            </w:pPr>
            <w:r>
              <w:t>$45,000</w:t>
            </w:r>
          </w:p>
        </w:tc>
        <w:tc>
          <w:tcPr>
            <w:tcW w:w="1562" w:type="dxa"/>
          </w:tcPr>
          <w:p w:rsidR="005920F2" w:rsidRPr="003962E4" w:rsidRDefault="005920F2" w:rsidP="00A975C1">
            <w:pPr>
              <w:spacing w:line="320" w:lineRule="atLeast"/>
              <w:contextualSpacing/>
              <w:jc w:val="right"/>
            </w:pPr>
            <w:r>
              <w:t>$</w:t>
            </w:r>
            <w:r w:rsidRPr="003962E4">
              <w:t>45,000</w:t>
            </w:r>
          </w:p>
        </w:tc>
      </w:tr>
      <w:tr w:rsidR="005920F2" w:rsidRPr="00FA7130" w:rsidTr="00B54525">
        <w:tc>
          <w:tcPr>
            <w:tcW w:w="4054" w:type="dxa"/>
          </w:tcPr>
          <w:p w:rsidR="005920F2" w:rsidRPr="00FA7130" w:rsidRDefault="005920F2" w:rsidP="00A975C1">
            <w:pPr>
              <w:spacing w:line="320" w:lineRule="atLeast"/>
              <w:contextualSpacing/>
            </w:pPr>
            <w:r w:rsidRPr="00FA7130">
              <w:t>Canteen</w:t>
            </w:r>
          </w:p>
        </w:tc>
        <w:tc>
          <w:tcPr>
            <w:tcW w:w="1904" w:type="dxa"/>
          </w:tcPr>
          <w:p w:rsidR="005920F2" w:rsidRPr="00FA7130" w:rsidRDefault="005920F2" w:rsidP="00A975C1">
            <w:pPr>
              <w:spacing w:line="320" w:lineRule="atLeast"/>
              <w:contextualSpacing/>
              <w:jc w:val="right"/>
            </w:pPr>
          </w:p>
        </w:tc>
        <w:tc>
          <w:tcPr>
            <w:tcW w:w="1722" w:type="dxa"/>
          </w:tcPr>
          <w:p w:rsidR="005920F2" w:rsidRPr="00FA7130" w:rsidRDefault="005920F2" w:rsidP="00A975C1">
            <w:pPr>
              <w:spacing w:line="320" w:lineRule="atLeast"/>
              <w:contextualSpacing/>
              <w:jc w:val="right"/>
            </w:pPr>
            <w:r>
              <w:t>-</w:t>
            </w:r>
          </w:p>
        </w:tc>
        <w:tc>
          <w:tcPr>
            <w:tcW w:w="1562" w:type="dxa"/>
          </w:tcPr>
          <w:p w:rsidR="005920F2" w:rsidRPr="00FA7130" w:rsidRDefault="005920F2" w:rsidP="00A975C1">
            <w:pPr>
              <w:spacing w:line="320" w:lineRule="atLeast"/>
              <w:contextualSpacing/>
              <w:jc w:val="right"/>
            </w:pPr>
            <w:r>
              <w:t>-</w:t>
            </w:r>
          </w:p>
        </w:tc>
      </w:tr>
      <w:tr w:rsidR="005920F2" w:rsidRPr="00FA7130" w:rsidTr="00B54525">
        <w:tc>
          <w:tcPr>
            <w:tcW w:w="4054" w:type="dxa"/>
            <w:tcBorders>
              <w:bottom w:val="single" w:sz="4" w:space="0" w:color="auto"/>
            </w:tcBorders>
          </w:tcPr>
          <w:p w:rsidR="005920F2" w:rsidRPr="00FA7130" w:rsidRDefault="005920F2" w:rsidP="00A975C1">
            <w:pPr>
              <w:spacing w:line="320" w:lineRule="atLeast"/>
              <w:contextualSpacing/>
            </w:pPr>
            <w:r w:rsidRPr="00FA7130">
              <w:t>Band &amp; Strings</w:t>
            </w:r>
          </w:p>
        </w:tc>
        <w:tc>
          <w:tcPr>
            <w:tcW w:w="1904" w:type="dxa"/>
            <w:tcBorders>
              <w:bottom w:val="single" w:sz="4" w:space="0" w:color="auto"/>
            </w:tcBorders>
          </w:tcPr>
          <w:p w:rsidR="005920F2" w:rsidRPr="00FA7130" w:rsidRDefault="005920F2" w:rsidP="00A975C1">
            <w:pPr>
              <w:spacing w:line="320" w:lineRule="atLeast"/>
              <w:contextualSpacing/>
              <w:jc w:val="right"/>
            </w:pPr>
          </w:p>
        </w:tc>
        <w:tc>
          <w:tcPr>
            <w:tcW w:w="1722" w:type="dxa"/>
            <w:tcBorders>
              <w:bottom w:val="single" w:sz="4" w:space="0" w:color="auto"/>
            </w:tcBorders>
          </w:tcPr>
          <w:p w:rsidR="005920F2" w:rsidRPr="00FA7130" w:rsidRDefault="005920F2" w:rsidP="00A975C1">
            <w:pPr>
              <w:spacing w:line="320" w:lineRule="atLeast"/>
              <w:contextualSpacing/>
              <w:jc w:val="right"/>
            </w:pPr>
            <w:r>
              <w:t>-</w:t>
            </w:r>
          </w:p>
        </w:tc>
        <w:tc>
          <w:tcPr>
            <w:tcW w:w="1562" w:type="dxa"/>
            <w:tcBorders>
              <w:bottom w:val="single" w:sz="4" w:space="0" w:color="auto"/>
            </w:tcBorders>
          </w:tcPr>
          <w:p w:rsidR="005920F2" w:rsidRPr="00FA7130" w:rsidRDefault="005920F2" w:rsidP="00A975C1">
            <w:pPr>
              <w:spacing w:line="320" w:lineRule="atLeast"/>
              <w:contextualSpacing/>
              <w:jc w:val="right"/>
            </w:pPr>
            <w:r>
              <w:t>-</w:t>
            </w:r>
          </w:p>
        </w:tc>
      </w:tr>
      <w:tr w:rsidR="005920F2" w:rsidRPr="00FA7130" w:rsidTr="00B54525">
        <w:tc>
          <w:tcPr>
            <w:tcW w:w="4054" w:type="dxa"/>
            <w:tcBorders>
              <w:top w:val="single" w:sz="4" w:space="0" w:color="auto"/>
              <w:bottom w:val="single" w:sz="4" w:space="0" w:color="auto"/>
            </w:tcBorders>
          </w:tcPr>
          <w:p w:rsidR="005920F2" w:rsidRPr="00FA7130" w:rsidRDefault="005920F2" w:rsidP="00A975C1">
            <w:pPr>
              <w:spacing w:line="320" w:lineRule="atLeast"/>
              <w:contextualSpacing/>
            </w:pPr>
            <w:r w:rsidRPr="00FA7130">
              <w:t xml:space="preserve">Total </w:t>
            </w:r>
          </w:p>
        </w:tc>
        <w:tc>
          <w:tcPr>
            <w:tcW w:w="1904" w:type="dxa"/>
            <w:tcBorders>
              <w:top w:val="single" w:sz="4" w:space="0" w:color="auto"/>
              <w:bottom w:val="single" w:sz="4" w:space="0" w:color="auto"/>
            </w:tcBorders>
          </w:tcPr>
          <w:p w:rsidR="005920F2" w:rsidRPr="00FA7130" w:rsidRDefault="005920F2" w:rsidP="00A975C1">
            <w:pPr>
              <w:spacing w:line="320" w:lineRule="atLeast"/>
              <w:contextualSpacing/>
              <w:jc w:val="right"/>
            </w:pPr>
          </w:p>
        </w:tc>
        <w:tc>
          <w:tcPr>
            <w:tcW w:w="1722" w:type="dxa"/>
            <w:tcBorders>
              <w:top w:val="single" w:sz="4" w:space="0" w:color="auto"/>
              <w:bottom w:val="single" w:sz="4" w:space="0" w:color="auto"/>
            </w:tcBorders>
          </w:tcPr>
          <w:p w:rsidR="005920F2" w:rsidRDefault="005920F2" w:rsidP="00A975C1">
            <w:pPr>
              <w:spacing w:line="320" w:lineRule="atLeast"/>
              <w:contextualSpacing/>
              <w:jc w:val="right"/>
            </w:pPr>
            <w:r>
              <w:t>$210,000</w:t>
            </w:r>
          </w:p>
        </w:tc>
        <w:tc>
          <w:tcPr>
            <w:tcW w:w="1562" w:type="dxa"/>
            <w:tcBorders>
              <w:top w:val="single" w:sz="4" w:space="0" w:color="auto"/>
              <w:bottom w:val="single" w:sz="4" w:space="0" w:color="auto"/>
            </w:tcBorders>
          </w:tcPr>
          <w:p w:rsidR="005920F2" w:rsidRPr="00FA7130" w:rsidRDefault="005920F2" w:rsidP="00A975C1">
            <w:pPr>
              <w:spacing w:line="320" w:lineRule="atLeast"/>
              <w:contextualSpacing/>
              <w:jc w:val="right"/>
            </w:pPr>
            <w:r>
              <w:t>$20</w:t>
            </w:r>
            <w:r w:rsidR="005F44D8">
              <w:t>5</w:t>
            </w:r>
            <w:r>
              <w:t>,</w:t>
            </w:r>
            <w:r w:rsidR="005F44D8">
              <w:t>452</w:t>
            </w:r>
          </w:p>
        </w:tc>
      </w:tr>
      <w:tr w:rsidR="005920F2" w:rsidRPr="00FA7130" w:rsidTr="00B54525">
        <w:tc>
          <w:tcPr>
            <w:tcW w:w="4054" w:type="dxa"/>
            <w:tcBorders>
              <w:top w:val="single" w:sz="4" w:space="0" w:color="auto"/>
            </w:tcBorders>
          </w:tcPr>
          <w:p w:rsidR="005920F2" w:rsidRPr="00FA7130" w:rsidRDefault="005920F2" w:rsidP="00A975C1">
            <w:pPr>
              <w:spacing w:line="320" w:lineRule="atLeast"/>
              <w:contextualSpacing/>
            </w:pPr>
          </w:p>
        </w:tc>
        <w:tc>
          <w:tcPr>
            <w:tcW w:w="1904" w:type="dxa"/>
            <w:tcBorders>
              <w:top w:val="single" w:sz="4" w:space="0" w:color="auto"/>
            </w:tcBorders>
          </w:tcPr>
          <w:p w:rsidR="005920F2" w:rsidRPr="00FA7130" w:rsidRDefault="005920F2" w:rsidP="00A975C1">
            <w:pPr>
              <w:spacing w:line="320" w:lineRule="atLeast"/>
              <w:contextualSpacing/>
              <w:jc w:val="right"/>
            </w:pPr>
          </w:p>
        </w:tc>
        <w:tc>
          <w:tcPr>
            <w:tcW w:w="1722" w:type="dxa"/>
            <w:tcBorders>
              <w:top w:val="single" w:sz="4" w:space="0" w:color="auto"/>
            </w:tcBorders>
          </w:tcPr>
          <w:p w:rsidR="005920F2" w:rsidRPr="00FA7130" w:rsidRDefault="005920F2" w:rsidP="00A975C1">
            <w:pPr>
              <w:spacing w:line="320" w:lineRule="atLeast"/>
              <w:contextualSpacing/>
              <w:jc w:val="right"/>
            </w:pPr>
          </w:p>
        </w:tc>
        <w:tc>
          <w:tcPr>
            <w:tcW w:w="1562" w:type="dxa"/>
            <w:tcBorders>
              <w:top w:val="single" w:sz="4" w:space="0" w:color="auto"/>
            </w:tcBorders>
          </w:tcPr>
          <w:p w:rsidR="005920F2" w:rsidRPr="00FA7130" w:rsidRDefault="005920F2" w:rsidP="00A975C1">
            <w:pPr>
              <w:spacing w:line="320" w:lineRule="atLeast"/>
              <w:contextualSpacing/>
              <w:jc w:val="right"/>
            </w:pPr>
          </w:p>
        </w:tc>
      </w:tr>
      <w:tr w:rsidR="005920F2" w:rsidRPr="00FA7130" w:rsidTr="00B54525">
        <w:tc>
          <w:tcPr>
            <w:tcW w:w="4054" w:type="dxa"/>
          </w:tcPr>
          <w:p w:rsidR="005920F2" w:rsidRPr="00FA7130" w:rsidRDefault="005920F2" w:rsidP="00A975C1">
            <w:pPr>
              <w:spacing w:line="320" w:lineRule="atLeast"/>
              <w:contextualSpacing/>
            </w:pPr>
            <w:r w:rsidRPr="00FA7130">
              <w:t xml:space="preserve">P &amp; C </w:t>
            </w:r>
            <w:r>
              <w:t xml:space="preserve">running costs &amp; community events </w:t>
            </w:r>
          </w:p>
        </w:tc>
        <w:tc>
          <w:tcPr>
            <w:tcW w:w="1904" w:type="dxa"/>
          </w:tcPr>
          <w:p w:rsidR="005920F2" w:rsidRPr="00FA7130" w:rsidRDefault="005920F2" w:rsidP="00A975C1">
            <w:pPr>
              <w:spacing w:line="320" w:lineRule="atLeast"/>
              <w:contextualSpacing/>
              <w:jc w:val="right"/>
            </w:pPr>
          </w:p>
        </w:tc>
        <w:tc>
          <w:tcPr>
            <w:tcW w:w="1722" w:type="dxa"/>
          </w:tcPr>
          <w:p w:rsidR="005920F2" w:rsidRDefault="005920F2" w:rsidP="00A975C1">
            <w:pPr>
              <w:spacing w:line="320" w:lineRule="atLeast"/>
              <w:contextualSpacing/>
              <w:jc w:val="right"/>
            </w:pPr>
            <w:r>
              <w:t>$20,000</w:t>
            </w:r>
          </w:p>
        </w:tc>
        <w:tc>
          <w:tcPr>
            <w:tcW w:w="1562" w:type="dxa"/>
          </w:tcPr>
          <w:p w:rsidR="005920F2" w:rsidRDefault="005920F2" w:rsidP="00A975C1">
            <w:pPr>
              <w:spacing w:line="320" w:lineRule="atLeast"/>
              <w:contextualSpacing/>
              <w:jc w:val="right"/>
            </w:pPr>
            <w:r>
              <w:t>$15,684</w:t>
            </w:r>
          </w:p>
          <w:p w:rsidR="005920F2" w:rsidRDefault="005920F2" w:rsidP="00A975C1">
            <w:pPr>
              <w:spacing w:line="320" w:lineRule="atLeast"/>
              <w:contextualSpacing/>
              <w:jc w:val="right"/>
            </w:pPr>
          </w:p>
        </w:tc>
      </w:tr>
      <w:tr w:rsidR="005920F2" w:rsidRPr="00271573" w:rsidTr="00B54525">
        <w:tc>
          <w:tcPr>
            <w:tcW w:w="4054" w:type="dxa"/>
            <w:tcBorders>
              <w:top w:val="single" w:sz="4" w:space="0" w:color="auto"/>
              <w:bottom w:val="single" w:sz="12" w:space="0" w:color="auto"/>
            </w:tcBorders>
          </w:tcPr>
          <w:p w:rsidR="005920F2" w:rsidRPr="00271573" w:rsidRDefault="005920F2" w:rsidP="00A975C1">
            <w:pPr>
              <w:spacing w:line="320" w:lineRule="atLeast"/>
              <w:contextualSpacing/>
              <w:rPr>
                <w:b/>
                <w:i/>
              </w:rPr>
            </w:pPr>
            <w:r w:rsidRPr="00271573">
              <w:rPr>
                <w:b/>
                <w:i/>
              </w:rPr>
              <w:t>Contribution to the school</w:t>
            </w:r>
          </w:p>
        </w:tc>
        <w:tc>
          <w:tcPr>
            <w:tcW w:w="1904" w:type="dxa"/>
            <w:tcBorders>
              <w:top w:val="single" w:sz="4" w:space="0" w:color="auto"/>
              <w:bottom w:val="single" w:sz="12" w:space="0" w:color="auto"/>
            </w:tcBorders>
          </w:tcPr>
          <w:p w:rsidR="005920F2" w:rsidRPr="00271573" w:rsidRDefault="005920F2" w:rsidP="00A975C1">
            <w:pPr>
              <w:spacing w:line="320" w:lineRule="atLeast"/>
              <w:contextualSpacing/>
              <w:jc w:val="right"/>
              <w:rPr>
                <w:b/>
                <w:i/>
              </w:rPr>
            </w:pPr>
          </w:p>
        </w:tc>
        <w:tc>
          <w:tcPr>
            <w:tcW w:w="1722" w:type="dxa"/>
            <w:tcBorders>
              <w:top w:val="single" w:sz="4" w:space="0" w:color="auto"/>
              <w:bottom w:val="single" w:sz="12" w:space="0" w:color="auto"/>
            </w:tcBorders>
          </w:tcPr>
          <w:p w:rsidR="005920F2" w:rsidRPr="00271573" w:rsidRDefault="005920F2" w:rsidP="00A975C1">
            <w:pPr>
              <w:spacing w:line="320" w:lineRule="atLeast"/>
              <w:contextualSpacing/>
              <w:jc w:val="right"/>
              <w:rPr>
                <w:b/>
              </w:rPr>
            </w:pPr>
            <w:r w:rsidRPr="00271573">
              <w:rPr>
                <w:b/>
              </w:rPr>
              <w:t>$190,000</w:t>
            </w:r>
          </w:p>
        </w:tc>
        <w:tc>
          <w:tcPr>
            <w:tcW w:w="1562" w:type="dxa"/>
            <w:tcBorders>
              <w:top w:val="single" w:sz="4" w:space="0" w:color="auto"/>
              <w:bottom w:val="single" w:sz="12" w:space="0" w:color="auto"/>
            </w:tcBorders>
          </w:tcPr>
          <w:p w:rsidR="005920F2" w:rsidRPr="00271573" w:rsidRDefault="005920F2" w:rsidP="00A975C1">
            <w:pPr>
              <w:spacing w:line="320" w:lineRule="atLeast"/>
              <w:contextualSpacing/>
              <w:jc w:val="right"/>
              <w:rPr>
                <w:b/>
              </w:rPr>
            </w:pPr>
            <w:r w:rsidRPr="00271573">
              <w:rPr>
                <w:b/>
              </w:rPr>
              <w:t>$190,000</w:t>
            </w:r>
          </w:p>
        </w:tc>
      </w:tr>
    </w:tbl>
    <w:p w:rsidR="003962E4" w:rsidRDefault="003962E4" w:rsidP="00A975C1">
      <w:pPr>
        <w:contextualSpacing/>
      </w:pPr>
    </w:p>
    <w:p w:rsidR="00CD296B" w:rsidRDefault="00CD296B" w:rsidP="00A975C1">
      <w:pPr>
        <w:contextualSpacing/>
      </w:pPr>
    </w:p>
    <w:p w:rsidR="005F44D8" w:rsidRPr="005F44D8" w:rsidRDefault="005F44D8" w:rsidP="00A975C1">
      <w:pPr>
        <w:contextualSpacing/>
        <w:rPr>
          <w:b/>
        </w:rPr>
      </w:pPr>
      <w:r w:rsidRPr="005F44D8">
        <w:rPr>
          <w:b/>
        </w:rPr>
        <w:t>Voluntary Contribution</w:t>
      </w:r>
    </w:p>
    <w:p w:rsidR="00CD296B" w:rsidRDefault="00CD296B" w:rsidP="00A975C1">
      <w:pPr>
        <w:contextualSpacing/>
      </w:pPr>
      <w:r>
        <w:t>The voluntary contribution came in</w:t>
      </w:r>
      <w:r w:rsidR="005F44D8">
        <w:t xml:space="preserve"> at </w:t>
      </w:r>
      <w:r>
        <w:t>$10</w:t>
      </w:r>
      <w:r w:rsidR="005F44D8">
        <w:t>1</w:t>
      </w:r>
      <w:r>
        <w:t>,</w:t>
      </w:r>
      <w:r w:rsidR="005F44D8">
        <w:t xml:space="preserve">405 this year, which was </w:t>
      </w:r>
      <w:r>
        <w:t>$1</w:t>
      </w:r>
      <w:r w:rsidR="005F44D8">
        <w:t>1</w:t>
      </w:r>
      <w:r>
        <w:t xml:space="preserve">,000 ahead of budget and </w:t>
      </w:r>
      <w:r w:rsidR="005F44D8">
        <w:t xml:space="preserve">19% up on last year’s contribution. </w:t>
      </w:r>
      <w:r w:rsidR="00DE0F34">
        <w:t>We believe t</w:t>
      </w:r>
      <w:r>
        <w:t xml:space="preserve">his great </w:t>
      </w:r>
      <w:r w:rsidR="00DE0F34">
        <w:t>outcome was largely the result of the s</w:t>
      </w:r>
      <w:r>
        <w:t xml:space="preserve">chool administrating its collection </w:t>
      </w:r>
      <w:r w:rsidR="00DE0F34">
        <w:t xml:space="preserve">and we thank the school office for taking on this additional administrative duty. </w:t>
      </w:r>
    </w:p>
    <w:p w:rsidR="00A975C1" w:rsidRDefault="00A975C1" w:rsidP="00A975C1">
      <w:pPr>
        <w:contextualSpacing/>
        <w:rPr>
          <w:b/>
        </w:rPr>
      </w:pPr>
    </w:p>
    <w:p w:rsidR="00A975C1" w:rsidRDefault="00A975C1">
      <w:pPr>
        <w:rPr>
          <w:b/>
        </w:rPr>
      </w:pPr>
      <w:r>
        <w:rPr>
          <w:b/>
        </w:rPr>
        <w:br w:type="page"/>
      </w:r>
    </w:p>
    <w:p w:rsidR="005F44D8" w:rsidRPr="00F66463" w:rsidRDefault="005F44D8" w:rsidP="00A975C1">
      <w:pPr>
        <w:contextualSpacing/>
        <w:rPr>
          <w:b/>
        </w:rPr>
      </w:pPr>
      <w:r w:rsidRPr="00F66463">
        <w:rPr>
          <w:b/>
        </w:rPr>
        <w:lastRenderedPageBreak/>
        <w:t>Fundraising &amp; Events</w:t>
      </w:r>
    </w:p>
    <w:p w:rsidR="00CD296B" w:rsidRDefault="00DE0F34" w:rsidP="00A975C1">
      <w:pPr>
        <w:contextualSpacing/>
      </w:pPr>
      <w:r>
        <w:t>A huge thank you to Belle Jackson and her fundraising &amp; events team for all their hard work and dedication in bringing us the hugely successful Bay Fair</w:t>
      </w:r>
      <w:r w:rsidR="00352E12">
        <w:t>,</w:t>
      </w:r>
      <w:r>
        <w:t xml:space="preserve"> as well as </w:t>
      </w:r>
      <w:r w:rsidR="00A77217">
        <w:t xml:space="preserve">all the </w:t>
      </w:r>
      <w:r>
        <w:t xml:space="preserve">other terrific events </w:t>
      </w:r>
      <w:r w:rsidR="00A77217">
        <w:t xml:space="preserve">hosted in </w:t>
      </w:r>
      <w:r>
        <w:t>2016.</w:t>
      </w:r>
      <w:r w:rsidR="00A77217">
        <w:t>And of course, thank you to the school community for supporting these events so enthusiastically. Whilst much of the estimated sponsorship income will now be received in FY 2017, the fundraising component for FY 2016 was almost 20% over our February estimates. A terrific effort by all involved.</w:t>
      </w:r>
    </w:p>
    <w:p w:rsidR="00DE0F34" w:rsidRDefault="00DE0F34" w:rsidP="00A975C1">
      <w:pPr>
        <w:contextualSpacing/>
      </w:pPr>
    </w:p>
    <w:p w:rsidR="00F66463" w:rsidRPr="00F66463" w:rsidRDefault="00F66463" w:rsidP="00A975C1">
      <w:pPr>
        <w:contextualSpacing/>
        <w:rPr>
          <w:b/>
        </w:rPr>
      </w:pPr>
      <w:r w:rsidRPr="00F66463">
        <w:rPr>
          <w:b/>
        </w:rPr>
        <w:t>Uniform Shop</w:t>
      </w:r>
    </w:p>
    <w:p w:rsidR="00F66463" w:rsidRDefault="00A77217" w:rsidP="00A975C1">
      <w:pPr>
        <w:contextualSpacing/>
      </w:pPr>
      <w:r>
        <w:t>Whilst sales in the Uniform shop were down slightly on last year, the shop performed well and made a net profit of $58,000. This was well up on last year’</w:t>
      </w:r>
      <w:r w:rsidR="003F28C9">
        <w:t xml:space="preserve">s profit of $47,000. This great result is largely due to </w:t>
      </w:r>
      <w:r>
        <w:t>Elizabeth Gurr</w:t>
      </w:r>
      <w:r w:rsidR="00CF0915">
        <w:t xml:space="preserve"> and her team of volunteers for their </w:t>
      </w:r>
      <w:r w:rsidR="003F28C9">
        <w:t>diligence and dedication</w:t>
      </w:r>
      <w:r w:rsidR="00CF0915">
        <w:t xml:space="preserve">. An enormous thank you should be extended to Elizabeth </w:t>
      </w:r>
      <w:r w:rsidR="003F28C9">
        <w:t xml:space="preserve">for doing such a terrific job. In term 3, Kate Jegat took over as Uniform Shop Manager. </w:t>
      </w:r>
      <w:r w:rsidR="00A975C1">
        <w:t>Whilst t</w:t>
      </w:r>
      <w:r w:rsidR="003F28C9">
        <w:t xml:space="preserve">his is now a paid position, the Uniform Shop will remain a steady source of </w:t>
      </w:r>
      <w:r w:rsidR="00A975C1">
        <w:t>profit</w:t>
      </w:r>
      <w:r w:rsidR="003F28C9">
        <w:t xml:space="preserve"> for the P &amp; C going forward.</w:t>
      </w:r>
    </w:p>
    <w:p w:rsidR="00CF6E63" w:rsidRDefault="00CF6E63" w:rsidP="00A975C1">
      <w:pPr>
        <w:contextualSpacing/>
      </w:pPr>
    </w:p>
    <w:p w:rsidR="00CF0915" w:rsidRDefault="00CF0915" w:rsidP="00A975C1">
      <w:pPr>
        <w:contextualSpacing/>
      </w:pPr>
      <w:r>
        <w:t>A special mention should also go to Kate Leveaux for managing the second hand uniform component of the shop</w:t>
      </w:r>
      <w:r w:rsidR="00352E12">
        <w:t xml:space="preserve"> and providing this important service.</w:t>
      </w:r>
    </w:p>
    <w:p w:rsidR="00CF0915" w:rsidRDefault="00CF0915" w:rsidP="00A975C1">
      <w:pPr>
        <w:contextualSpacing/>
      </w:pPr>
    </w:p>
    <w:p w:rsidR="00F66463" w:rsidRPr="00A975C1" w:rsidRDefault="00F66463" w:rsidP="00A975C1">
      <w:pPr>
        <w:contextualSpacing/>
        <w:rPr>
          <w:b/>
        </w:rPr>
      </w:pPr>
      <w:r w:rsidRPr="00F66463">
        <w:rPr>
          <w:b/>
        </w:rPr>
        <w:t>Canteen</w:t>
      </w:r>
    </w:p>
    <w:p w:rsidR="001063BF" w:rsidRDefault="00CF0915" w:rsidP="00A975C1">
      <w:pPr>
        <w:contextualSpacing/>
      </w:pPr>
      <w:r>
        <w:t xml:space="preserve">The canteen continues to offer a great service to the school community and sales increased to $267,930 this year, up by almost 10% on last year. Whilst the canteen is a self-sustaining business, and the P &amp; C does not seek to draw </w:t>
      </w:r>
      <w:r w:rsidR="00352E12">
        <w:t xml:space="preserve">profits </w:t>
      </w:r>
      <w:r>
        <w:t xml:space="preserve">from it, it typically </w:t>
      </w:r>
      <w:r w:rsidR="00352E12">
        <w:t>returns aroun</w:t>
      </w:r>
      <w:r>
        <w:t>d $15</w:t>
      </w:r>
      <w:r w:rsidR="00352E12">
        <w:t>,000</w:t>
      </w:r>
      <w:r>
        <w:t>-$20,000</w:t>
      </w:r>
      <w:r w:rsidR="00352E12">
        <w:t xml:space="preserve"> each year.</w:t>
      </w:r>
      <w:r w:rsidR="001063BF">
        <w:t xml:space="preserve"> This </w:t>
      </w:r>
      <w:r w:rsidR="00352E12">
        <w:t xml:space="preserve">money </w:t>
      </w:r>
      <w:r w:rsidR="001063BF">
        <w:t xml:space="preserve">is set aside to fund </w:t>
      </w:r>
      <w:r>
        <w:t xml:space="preserve">capital works </w:t>
      </w:r>
      <w:r w:rsidR="001063BF">
        <w:t xml:space="preserve">and invest in new equipment as required. This year, </w:t>
      </w:r>
      <w:r>
        <w:t xml:space="preserve">as </w:t>
      </w:r>
      <w:r w:rsidR="001063BF">
        <w:t xml:space="preserve">a result of significant increases in food costs (up 13%), as well as increases in wages (up 26%) the canteen only broke even.  As a result, the canteen will need to raise its prices in 2017, in order to remain sustainable. </w:t>
      </w:r>
      <w:r w:rsidR="00352E12">
        <w:t>However, i</w:t>
      </w:r>
      <w:r w:rsidR="001063BF">
        <w:t>t must be acknowledged</w:t>
      </w:r>
      <w:r w:rsidR="00352E12">
        <w:t>,</w:t>
      </w:r>
      <w:r w:rsidR="001063BF">
        <w:t xml:space="preserve"> that the canteen’s prices are very reasonable and </w:t>
      </w:r>
      <w:r w:rsidR="00352E12">
        <w:t xml:space="preserve">if </w:t>
      </w:r>
      <w:r w:rsidR="001063BF">
        <w:t>an external provider was brought in, prices would no doubt rise significantly.</w:t>
      </w:r>
    </w:p>
    <w:p w:rsidR="001063BF" w:rsidRDefault="001063BF" w:rsidP="00A975C1">
      <w:pPr>
        <w:contextualSpacing/>
      </w:pPr>
    </w:p>
    <w:p w:rsidR="001063BF" w:rsidRDefault="001063BF" w:rsidP="00A975C1">
      <w:pPr>
        <w:contextualSpacing/>
      </w:pPr>
      <w:r>
        <w:t>I would like to extend my thanks to Bridget Douglas, our canteen co-ordinator and  Jenni Spillane, our canteen treasurer</w:t>
      </w:r>
      <w:r w:rsidR="00D42E99">
        <w:t>,</w:t>
      </w:r>
      <w:r>
        <w:t xml:space="preserve"> for the many hours that they put in to keeping the canteen running so well.</w:t>
      </w:r>
    </w:p>
    <w:p w:rsidR="001063BF" w:rsidRDefault="001063BF" w:rsidP="00A975C1">
      <w:pPr>
        <w:contextualSpacing/>
      </w:pPr>
    </w:p>
    <w:p w:rsidR="00F66463" w:rsidRPr="00F66463" w:rsidRDefault="00F66463" w:rsidP="00A975C1">
      <w:pPr>
        <w:contextualSpacing/>
        <w:rPr>
          <w:b/>
        </w:rPr>
      </w:pPr>
      <w:r w:rsidRPr="00F66463">
        <w:rPr>
          <w:b/>
        </w:rPr>
        <w:t>NBPS Band &amp; Strings Programs</w:t>
      </w:r>
    </w:p>
    <w:p w:rsidR="00F66463" w:rsidRDefault="00354CA7" w:rsidP="00A975C1">
      <w:pPr>
        <w:contextualSpacing/>
      </w:pPr>
      <w:r>
        <w:t xml:space="preserve">The Band &amp; Strings Programs are self-funded and run fairly independently from the rest of the P&amp;C. This being said, the band program will </w:t>
      </w:r>
      <w:r w:rsidR="00D42E99">
        <w:t>need to draw on its</w:t>
      </w:r>
      <w:r>
        <w:t xml:space="preserve"> reserves this year to meet all </w:t>
      </w:r>
      <w:r w:rsidR="00D42E99">
        <w:t xml:space="preserve">of its </w:t>
      </w:r>
      <w:r>
        <w:t xml:space="preserve">expenses. As a result, the band program will </w:t>
      </w:r>
      <w:r w:rsidR="00D42E99">
        <w:t xml:space="preserve">most likely </w:t>
      </w:r>
      <w:r>
        <w:t>see another small increase in fees in 2017.</w:t>
      </w:r>
    </w:p>
    <w:p w:rsidR="00354CA7" w:rsidRDefault="00354CA7" w:rsidP="00A975C1">
      <w:pPr>
        <w:contextualSpacing/>
      </w:pPr>
    </w:p>
    <w:p w:rsidR="00354CA7" w:rsidRDefault="00354CA7" w:rsidP="00A975C1">
      <w:pPr>
        <w:contextualSpacing/>
      </w:pPr>
      <w:r>
        <w:t>A big thank you to Melanie Lindsay and Sharmilla Soorian</w:t>
      </w:r>
      <w:r w:rsidR="00D42E99">
        <w:t>,</w:t>
      </w:r>
      <w:r>
        <w:t xml:space="preserve"> as </w:t>
      </w:r>
      <w:r w:rsidR="00D42E99">
        <w:t xml:space="preserve">respective </w:t>
      </w:r>
      <w:r>
        <w:t>Band &amp; Strings Treasurers</w:t>
      </w:r>
      <w:r w:rsidR="00D42E99">
        <w:t>,</w:t>
      </w:r>
      <w:r>
        <w:t xml:space="preserve"> for all their hard work this year in making sure that their accounts ran smoothly.</w:t>
      </w:r>
    </w:p>
    <w:p w:rsidR="00F66463" w:rsidRDefault="00F66463" w:rsidP="00A975C1">
      <w:pPr>
        <w:contextualSpacing/>
      </w:pPr>
    </w:p>
    <w:p w:rsidR="00F66463" w:rsidRDefault="00F66463" w:rsidP="00A975C1">
      <w:pPr>
        <w:contextualSpacing/>
      </w:pPr>
    </w:p>
    <w:p w:rsidR="005F44D8" w:rsidRPr="005F44D8" w:rsidRDefault="005F44D8" w:rsidP="00A975C1">
      <w:pPr>
        <w:contextualSpacing/>
        <w:rPr>
          <w:b/>
        </w:rPr>
      </w:pPr>
      <w:r w:rsidRPr="005F44D8">
        <w:rPr>
          <w:b/>
        </w:rPr>
        <w:t>P &amp; C Running Costs</w:t>
      </w:r>
    </w:p>
    <w:p w:rsidR="00F66463" w:rsidRDefault="00D15F54" w:rsidP="00A975C1">
      <w:pPr>
        <w:contextualSpacing/>
      </w:pPr>
      <w:r>
        <w:t xml:space="preserve">The running costs of the P &amp; C are predominantly made up of P &amp; C insurances of around $7,000, </w:t>
      </w:r>
      <w:r w:rsidR="00CF6E63">
        <w:t>auditing fees of $2,700, the</w:t>
      </w:r>
      <w:r>
        <w:t xml:space="preserve"> P &amp; C Welc</w:t>
      </w:r>
      <w:r w:rsidR="00CF6E63">
        <w:t>ome Drinks at around $4,400, as well as other minor expenses.</w:t>
      </w:r>
    </w:p>
    <w:p w:rsidR="00CF6E63" w:rsidRDefault="00CF6E63" w:rsidP="00A975C1">
      <w:pPr>
        <w:contextualSpacing/>
      </w:pPr>
    </w:p>
    <w:p w:rsidR="00CF6E63" w:rsidRDefault="00CF6E63" w:rsidP="00A975C1">
      <w:pPr>
        <w:contextualSpacing/>
      </w:pPr>
      <w:r>
        <w:t xml:space="preserve">In terms of our cash position for the fundraising and general accounts, we finished the year with $168,000 in the bank, slightly down on last years $171,000. The P &amp; C commits to support the science </w:t>
      </w:r>
      <w:r>
        <w:lastRenderedPageBreak/>
        <w:t xml:space="preserve">and music programs to the tune of $120,000 per year with the main costs being teacher’s salaries. As a result, the school </w:t>
      </w:r>
      <w:r w:rsidR="00D42E99">
        <w:t>needs to know</w:t>
      </w:r>
      <w:r>
        <w:t xml:space="preserve"> that we have </w:t>
      </w:r>
      <w:r w:rsidR="00D42E99">
        <w:t>enough of a buffer</w:t>
      </w:r>
      <w:r>
        <w:t xml:space="preserve"> to meet the costs of these programs in the year ahead.</w:t>
      </w:r>
    </w:p>
    <w:p w:rsidR="00F66463" w:rsidRDefault="00F66463" w:rsidP="00A975C1">
      <w:pPr>
        <w:contextualSpacing/>
      </w:pPr>
    </w:p>
    <w:p w:rsidR="00CF6E63" w:rsidRDefault="00D42E99" w:rsidP="00A975C1">
      <w:pPr>
        <w:contextualSpacing/>
      </w:pPr>
      <w:r>
        <w:t>Finally, i</w:t>
      </w:r>
      <w:r w:rsidR="004D4486">
        <w:t xml:space="preserve">t should </w:t>
      </w:r>
      <w:r>
        <w:t>b</w:t>
      </w:r>
      <w:r w:rsidR="004D4486">
        <w:t xml:space="preserve">e noted, that we successfully transitioned our accounts to the cloud-based version of Quickbooks this year. This change </w:t>
      </w:r>
      <w:r w:rsidR="00103E57">
        <w:t xml:space="preserve">has </w:t>
      </w:r>
      <w:r w:rsidR="004D4486">
        <w:t xml:space="preserve">allowed us to begin importing all of the uniform shops sales from Flexischools directly into the account system and has saved many hours of manual data entry. Going forward it will also streamline processes in the canteen and is generally a far more accessible and easy to use system than what we were previously operating on.  I would like to thank the Uniform Shop book-keeper, Yuji </w:t>
      </w:r>
      <w:r w:rsidR="00103E57">
        <w:t xml:space="preserve">Huraizumi, </w:t>
      </w:r>
      <w:r w:rsidR="004D4486">
        <w:t xml:space="preserve"> for helping us to mi</w:t>
      </w:r>
      <w:r w:rsidR="00103E57">
        <w:t>grate across to this new system so seamlessly.</w:t>
      </w:r>
    </w:p>
    <w:p w:rsidR="00CF6E63" w:rsidRDefault="00CF6E63" w:rsidP="00A975C1">
      <w:pPr>
        <w:contextualSpacing/>
      </w:pPr>
    </w:p>
    <w:p w:rsidR="00F66463" w:rsidRDefault="00F66463" w:rsidP="00A975C1">
      <w:pPr>
        <w:contextualSpacing/>
      </w:pPr>
    </w:p>
    <w:p w:rsidR="00103E57" w:rsidRDefault="00103E57" w:rsidP="00A975C1">
      <w:pPr>
        <w:contextualSpacing/>
      </w:pPr>
    </w:p>
    <w:p w:rsidR="00103E57" w:rsidRDefault="00103E57" w:rsidP="00A975C1">
      <w:pPr>
        <w:contextualSpacing/>
      </w:pPr>
      <w:r>
        <w:t>As</w:t>
      </w:r>
      <w:r w:rsidR="00CF6E63">
        <w:t xml:space="preserve"> I am stepping down as Treasurer at the end of this meeting, I would like to extend an enormous thank you to Kate Juniper, our wonderful Assistant Treasurer. Kate has been a huge support to me this year</w:t>
      </w:r>
      <w:r>
        <w:t xml:space="preserve"> in all aspects of the role</w:t>
      </w:r>
      <w:r w:rsidR="00CF6E63">
        <w:t xml:space="preserve"> and </w:t>
      </w:r>
      <w:r>
        <w:t xml:space="preserve">has even </w:t>
      </w:r>
      <w:r w:rsidR="00CF6E63">
        <w:t xml:space="preserve">stepped up into </w:t>
      </w:r>
      <w:r>
        <w:t>the position when I have been away or unavailable</w:t>
      </w:r>
      <w:r w:rsidR="00CF6E63">
        <w:t xml:space="preserve">. </w:t>
      </w:r>
      <w:r w:rsidR="00D42E99">
        <w:t>Thank you so much Kate!!</w:t>
      </w:r>
    </w:p>
    <w:p w:rsidR="00103E57" w:rsidRDefault="00103E57" w:rsidP="00A975C1">
      <w:pPr>
        <w:contextualSpacing/>
      </w:pPr>
    </w:p>
    <w:p w:rsidR="00CF6E63" w:rsidRDefault="00CF6E63" w:rsidP="00A975C1">
      <w:pPr>
        <w:contextualSpacing/>
      </w:pPr>
      <w:r>
        <w:t>Whilst the Treasury role comes with great responsibility</w:t>
      </w:r>
      <w:r w:rsidR="004D4486">
        <w:t xml:space="preserve"> (and many hours of work!)</w:t>
      </w:r>
      <w:r>
        <w:t xml:space="preserve">, it </w:t>
      </w:r>
      <w:r w:rsidR="004D4486">
        <w:t>has been both rewarding and fun to be involved with such a great group of parents who give their time so generously to support our great school. A big thank you to everyone on the Executive team</w:t>
      </w:r>
      <w:r w:rsidR="00103E57">
        <w:t xml:space="preserve"> for being a great group of people to work with</w:t>
      </w:r>
      <w:r w:rsidR="004D4486">
        <w:t xml:space="preserve">, and in particular to Ben, for being an inclusive and steady hand as our President. </w:t>
      </w:r>
    </w:p>
    <w:p w:rsidR="00F66463" w:rsidRDefault="00F66463" w:rsidP="00A975C1">
      <w:pPr>
        <w:contextualSpacing/>
      </w:pPr>
    </w:p>
    <w:p w:rsidR="00F66463" w:rsidRDefault="00F66463" w:rsidP="00A975C1">
      <w:pPr>
        <w:contextualSpacing/>
      </w:pPr>
    </w:p>
    <w:p w:rsidR="00103E57" w:rsidRDefault="00103E57" w:rsidP="00A975C1">
      <w:pPr>
        <w:contextualSpacing/>
      </w:pPr>
    </w:p>
    <w:p w:rsidR="00103E57" w:rsidRDefault="00103E57" w:rsidP="00A975C1">
      <w:pPr>
        <w:contextualSpacing/>
      </w:pPr>
      <w:bookmarkStart w:id="0" w:name="_GoBack"/>
      <w:bookmarkEnd w:id="0"/>
    </w:p>
    <w:p w:rsidR="00F66463" w:rsidRDefault="00F66463" w:rsidP="00A975C1">
      <w:pPr>
        <w:contextualSpacing/>
      </w:pPr>
      <w:r>
        <w:t>Alex Fransen</w:t>
      </w:r>
    </w:p>
    <w:p w:rsidR="00F66463" w:rsidRDefault="00F66463" w:rsidP="00A975C1">
      <w:pPr>
        <w:contextualSpacing/>
      </w:pPr>
      <w:r>
        <w:t>Treasurer</w:t>
      </w:r>
    </w:p>
    <w:p w:rsidR="00F66463" w:rsidRPr="00134C50" w:rsidRDefault="00F66463" w:rsidP="00A975C1">
      <w:pPr>
        <w:contextualSpacing/>
      </w:pPr>
      <w:r>
        <w:t>Neutral Bay Public School P &amp; C Association, 2016</w:t>
      </w:r>
    </w:p>
    <w:sectPr w:rsidR="00F66463" w:rsidRPr="00134C50" w:rsidSect="00F07885">
      <w:pgSz w:w="11906" w:h="16838"/>
      <w:pgMar w:top="1296" w:right="1296" w:bottom="1296"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D60" w:rsidRDefault="00AC2D60" w:rsidP="00F07885">
      <w:pPr>
        <w:spacing w:after="0" w:line="240" w:lineRule="auto"/>
      </w:pPr>
      <w:r>
        <w:separator/>
      </w:r>
    </w:p>
  </w:endnote>
  <w:endnote w:type="continuationSeparator" w:id="1">
    <w:p w:rsidR="00AC2D60" w:rsidRDefault="00AC2D60" w:rsidP="00F07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D60" w:rsidRDefault="00AC2D60" w:rsidP="00F07885">
      <w:pPr>
        <w:spacing w:after="0" w:line="240" w:lineRule="auto"/>
      </w:pPr>
      <w:r>
        <w:separator/>
      </w:r>
    </w:p>
  </w:footnote>
  <w:footnote w:type="continuationSeparator" w:id="1">
    <w:p w:rsidR="00AC2D60" w:rsidRDefault="00AC2D60" w:rsidP="00F07885">
      <w:pPr>
        <w:spacing w:after="0" w:line="240" w:lineRule="auto"/>
      </w:pPr>
      <w:r>
        <w:continuationSeparator/>
      </w:r>
    </w:p>
  </w:footnote>
  <w:footnote w:id="2">
    <w:p w:rsidR="00DE0F34" w:rsidRDefault="00DE0F34">
      <w:pPr>
        <w:pStyle w:val="FootnoteText"/>
      </w:pPr>
      <w:r>
        <w:rPr>
          <w:rStyle w:val="FootnoteReference"/>
        </w:rPr>
        <w:footnoteRef/>
      </w:r>
      <w:r>
        <w:t xml:space="preserve"> At the beginning of the year, it was anticipated that our major event sponsor, McGrath Neutral Bay, would host a major event in FY2016. This activity has now been moved into Q1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64999"/>
    <w:multiLevelType w:val="hybridMultilevel"/>
    <w:tmpl w:val="69BE3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385CD9"/>
    <w:multiLevelType w:val="hybridMultilevel"/>
    <w:tmpl w:val="3B20A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1C7719"/>
    <w:multiLevelType w:val="hybridMultilevel"/>
    <w:tmpl w:val="BF6C1FC4"/>
    <w:lvl w:ilvl="0" w:tplc="F926B04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8C84926"/>
    <w:multiLevelType w:val="hybridMultilevel"/>
    <w:tmpl w:val="DE1A2628"/>
    <w:lvl w:ilvl="0" w:tplc="FD2AF5F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8EB60B5"/>
    <w:multiLevelType w:val="hybridMultilevel"/>
    <w:tmpl w:val="4B705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7734FE"/>
    <w:multiLevelType w:val="hybridMultilevel"/>
    <w:tmpl w:val="88188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71C6"/>
    <w:rsid w:val="00003C7B"/>
    <w:rsid w:val="00025918"/>
    <w:rsid w:val="00040321"/>
    <w:rsid w:val="0004339D"/>
    <w:rsid w:val="000E644C"/>
    <w:rsid w:val="00103E57"/>
    <w:rsid w:val="001063BF"/>
    <w:rsid w:val="001102FD"/>
    <w:rsid w:val="00110C15"/>
    <w:rsid w:val="00134C50"/>
    <w:rsid w:val="00175053"/>
    <w:rsid w:val="001A1EBF"/>
    <w:rsid w:val="001D504B"/>
    <w:rsid w:val="001E7C43"/>
    <w:rsid w:val="00202681"/>
    <w:rsid w:val="00213A66"/>
    <w:rsid w:val="00245DCC"/>
    <w:rsid w:val="002468D3"/>
    <w:rsid w:val="00271573"/>
    <w:rsid w:val="00273DC1"/>
    <w:rsid w:val="002A743B"/>
    <w:rsid w:val="002B35AE"/>
    <w:rsid w:val="00352E12"/>
    <w:rsid w:val="00354CA7"/>
    <w:rsid w:val="003962E4"/>
    <w:rsid w:val="003A4A7B"/>
    <w:rsid w:val="003F28C9"/>
    <w:rsid w:val="003F47CC"/>
    <w:rsid w:val="00435CEE"/>
    <w:rsid w:val="0044114C"/>
    <w:rsid w:val="004D4486"/>
    <w:rsid w:val="00541AB4"/>
    <w:rsid w:val="00552DFA"/>
    <w:rsid w:val="00581D38"/>
    <w:rsid w:val="00582922"/>
    <w:rsid w:val="0059067A"/>
    <w:rsid w:val="005920F2"/>
    <w:rsid w:val="005B2677"/>
    <w:rsid w:val="005E71C6"/>
    <w:rsid w:val="005F44D8"/>
    <w:rsid w:val="00630261"/>
    <w:rsid w:val="0069621F"/>
    <w:rsid w:val="006C6546"/>
    <w:rsid w:val="006D634A"/>
    <w:rsid w:val="006F78C3"/>
    <w:rsid w:val="00727424"/>
    <w:rsid w:val="00797102"/>
    <w:rsid w:val="007D685E"/>
    <w:rsid w:val="00821433"/>
    <w:rsid w:val="00863C43"/>
    <w:rsid w:val="008B435E"/>
    <w:rsid w:val="008C0F0A"/>
    <w:rsid w:val="009301C0"/>
    <w:rsid w:val="009454D4"/>
    <w:rsid w:val="00A10CA5"/>
    <w:rsid w:val="00A2451F"/>
    <w:rsid w:val="00A658D7"/>
    <w:rsid w:val="00A77217"/>
    <w:rsid w:val="00A83609"/>
    <w:rsid w:val="00A9714F"/>
    <w:rsid w:val="00A975C1"/>
    <w:rsid w:val="00AB3CED"/>
    <w:rsid w:val="00AC2D60"/>
    <w:rsid w:val="00B10DED"/>
    <w:rsid w:val="00B54525"/>
    <w:rsid w:val="00B55F95"/>
    <w:rsid w:val="00B80F6A"/>
    <w:rsid w:val="00BE757A"/>
    <w:rsid w:val="00C02A4A"/>
    <w:rsid w:val="00C26AE8"/>
    <w:rsid w:val="00C376B4"/>
    <w:rsid w:val="00C539A1"/>
    <w:rsid w:val="00C72A0E"/>
    <w:rsid w:val="00CD296B"/>
    <w:rsid w:val="00CF0915"/>
    <w:rsid w:val="00CF6E63"/>
    <w:rsid w:val="00D15F54"/>
    <w:rsid w:val="00D42E99"/>
    <w:rsid w:val="00D82A33"/>
    <w:rsid w:val="00D93B30"/>
    <w:rsid w:val="00DA0BAD"/>
    <w:rsid w:val="00DD7F0A"/>
    <w:rsid w:val="00DE0F34"/>
    <w:rsid w:val="00E44D06"/>
    <w:rsid w:val="00E7606E"/>
    <w:rsid w:val="00EB0406"/>
    <w:rsid w:val="00EB2DCF"/>
    <w:rsid w:val="00F03EE3"/>
    <w:rsid w:val="00F07885"/>
    <w:rsid w:val="00F41686"/>
    <w:rsid w:val="00F66463"/>
    <w:rsid w:val="00FA7130"/>
    <w:rsid w:val="00FB646F"/>
    <w:rsid w:val="00FC076C"/>
    <w:rsid w:val="00FD237D"/>
    <w:rsid w:val="00FE0D0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5DCC"/>
    <w:pPr>
      <w:ind w:left="720"/>
      <w:contextualSpacing/>
    </w:pPr>
  </w:style>
  <w:style w:type="paragraph" w:styleId="EndnoteText">
    <w:name w:val="endnote text"/>
    <w:basedOn w:val="Normal"/>
    <w:link w:val="EndnoteTextChar"/>
    <w:uiPriority w:val="99"/>
    <w:semiHidden/>
    <w:unhideWhenUsed/>
    <w:rsid w:val="00F078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7885"/>
    <w:rPr>
      <w:sz w:val="20"/>
      <w:szCs w:val="20"/>
    </w:rPr>
  </w:style>
  <w:style w:type="character" w:styleId="EndnoteReference">
    <w:name w:val="endnote reference"/>
    <w:basedOn w:val="DefaultParagraphFont"/>
    <w:uiPriority w:val="99"/>
    <w:semiHidden/>
    <w:unhideWhenUsed/>
    <w:rsid w:val="00F07885"/>
    <w:rPr>
      <w:vertAlign w:val="superscript"/>
    </w:rPr>
  </w:style>
  <w:style w:type="paragraph" w:styleId="FootnoteText">
    <w:name w:val="footnote text"/>
    <w:basedOn w:val="Normal"/>
    <w:link w:val="FootnoteTextChar"/>
    <w:uiPriority w:val="99"/>
    <w:semiHidden/>
    <w:unhideWhenUsed/>
    <w:rsid w:val="007D68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85E"/>
    <w:rPr>
      <w:sz w:val="20"/>
      <w:szCs w:val="20"/>
    </w:rPr>
  </w:style>
  <w:style w:type="character" w:styleId="FootnoteReference">
    <w:name w:val="footnote reference"/>
    <w:basedOn w:val="DefaultParagraphFont"/>
    <w:uiPriority w:val="99"/>
    <w:semiHidden/>
    <w:unhideWhenUsed/>
    <w:rsid w:val="007D68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DCC"/>
    <w:pPr>
      <w:ind w:left="720"/>
      <w:contextualSpacing/>
    </w:pPr>
  </w:style>
  <w:style w:type="paragraph" w:styleId="EndnoteText">
    <w:name w:val="endnote text"/>
    <w:basedOn w:val="Normal"/>
    <w:link w:val="EndnoteTextChar"/>
    <w:uiPriority w:val="99"/>
    <w:semiHidden/>
    <w:unhideWhenUsed/>
    <w:rsid w:val="00F078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7885"/>
    <w:rPr>
      <w:sz w:val="20"/>
      <w:szCs w:val="20"/>
    </w:rPr>
  </w:style>
  <w:style w:type="character" w:styleId="EndnoteReference">
    <w:name w:val="endnote reference"/>
    <w:basedOn w:val="DefaultParagraphFont"/>
    <w:uiPriority w:val="99"/>
    <w:semiHidden/>
    <w:unhideWhenUsed/>
    <w:rsid w:val="00F07885"/>
    <w:rPr>
      <w:vertAlign w:val="superscript"/>
    </w:rPr>
  </w:style>
  <w:style w:type="paragraph" w:styleId="FootnoteText">
    <w:name w:val="footnote text"/>
    <w:basedOn w:val="Normal"/>
    <w:link w:val="FootnoteTextChar"/>
    <w:uiPriority w:val="99"/>
    <w:semiHidden/>
    <w:unhideWhenUsed/>
    <w:rsid w:val="007D68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85E"/>
    <w:rPr>
      <w:sz w:val="20"/>
      <w:szCs w:val="20"/>
    </w:rPr>
  </w:style>
  <w:style w:type="character" w:styleId="FootnoteReference">
    <w:name w:val="footnote reference"/>
    <w:basedOn w:val="DefaultParagraphFont"/>
    <w:uiPriority w:val="99"/>
    <w:semiHidden/>
    <w:unhideWhenUsed/>
    <w:rsid w:val="007D685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CFDDF-37A5-4BE9-8D18-AAFA28EF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Jackson</cp:lastModifiedBy>
  <cp:revision>2</cp:revision>
  <cp:lastPrinted>2016-11-20T13:37:00Z</cp:lastPrinted>
  <dcterms:created xsi:type="dcterms:W3CDTF">2016-11-21T08:27:00Z</dcterms:created>
  <dcterms:modified xsi:type="dcterms:W3CDTF">2016-11-21T08:27:00Z</dcterms:modified>
</cp:coreProperties>
</file>